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904" w:rsidRPr="001F5904" w:rsidRDefault="001F5904" w:rsidP="001F5904">
      <w:pPr>
        <w:suppressAutoHyphens w:val="0"/>
        <w:ind w:left="0" w:firstLine="708"/>
        <w:jc w:val="center"/>
        <w:rPr>
          <w:rFonts w:ascii="Verdana" w:hAnsi="Verdana"/>
          <w:b/>
          <w:iCs/>
          <w:sz w:val="20"/>
          <w:szCs w:val="20"/>
        </w:rPr>
      </w:pPr>
      <w:proofErr w:type="spellStart"/>
      <w:r w:rsidRPr="001F5904">
        <w:rPr>
          <w:rFonts w:ascii="Verdana" w:hAnsi="Verdana"/>
          <w:b/>
          <w:iCs/>
          <w:sz w:val="20"/>
          <w:szCs w:val="20"/>
        </w:rPr>
        <w:t>Incompany</w:t>
      </w:r>
      <w:proofErr w:type="spellEnd"/>
      <w:r w:rsidRPr="001F5904">
        <w:rPr>
          <w:rFonts w:ascii="Verdana" w:hAnsi="Verdana"/>
          <w:b/>
          <w:iCs/>
          <w:sz w:val="20"/>
          <w:szCs w:val="20"/>
        </w:rPr>
        <w:t xml:space="preserve"> training</w:t>
      </w:r>
      <w:r w:rsidRPr="001F5904">
        <w:rPr>
          <w:rFonts w:ascii="Verdana" w:hAnsi="Verdana"/>
          <w:b/>
          <w:iCs/>
          <w:sz w:val="20"/>
          <w:szCs w:val="20"/>
        </w:rPr>
        <w:t xml:space="preserve">  Psychische stoornissen in de </w:t>
      </w:r>
      <w:proofErr w:type="spellStart"/>
      <w:r w:rsidRPr="001F5904">
        <w:rPr>
          <w:rFonts w:ascii="Verdana" w:hAnsi="Verdana"/>
          <w:b/>
          <w:iCs/>
          <w:sz w:val="20"/>
          <w:szCs w:val="20"/>
        </w:rPr>
        <w:t>Wlz</w:t>
      </w:r>
      <w:proofErr w:type="spellEnd"/>
    </w:p>
    <w:p w:rsidR="001F5904" w:rsidRPr="001F5904" w:rsidRDefault="001F5904" w:rsidP="001F5904">
      <w:pPr>
        <w:suppressAutoHyphens w:val="0"/>
        <w:ind w:left="0" w:firstLine="708"/>
        <w:jc w:val="center"/>
        <w:rPr>
          <w:rFonts w:ascii="Verdana" w:hAnsi="Verdana"/>
          <w:b/>
          <w:i/>
          <w:sz w:val="20"/>
          <w:szCs w:val="20"/>
        </w:rPr>
      </w:pPr>
      <w:r w:rsidRPr="001F5904">
        <w:rPr>
          <w:rFonts w:ascii="Verdana" w:hAnsi="Verdana"/>
          <w:b/>
          <w:i/>
          <w:sz w:val="20"/>
          <w:szCs w:val="20"/>
        </w:rPr>
        <w:t>Indiceren van psychische problematiek</w:t>
      </w:r>
    </w:p>
    <w:p w:rsidR="001F5904" w:rsidRPr="001F5904" w:rsidRDefault="001F5904" w:rsidP="001F5904">
      <w:pPr>
        <w:suppressAutoHyphens w:val="0"/>
        <w:ind w:left="0" w:firstLine="708"/>
        <w:jc w:val="center"/>
        <w:rPr>
          <w:rFonts w:ascii="Verdana" w:hAnsi="Verdana"/>
          <w:b/>
          <w:i/>
          <w:sz w:val="20"/>
          <w:szCs w:val="20"/>
        </w:rPr>
      </w:pPr>
      <w:r w:rsidRPr="001F5904">
        <w:rPr>
          <w:rFonts w:ascii="Verdana" w:hAnsi="Verdana"/>
          <w:b/>
          <w:i/>
          <w:sz w:val="20"/>
          <w:szCs w:val="20"/>
        </w:rPr>
        <w:t>Context, in- en aanleiding</w:t>
      </w:r>
    </w:p>
    <w:p w:rsidR="001F5904" w:rsidRPr="001F5904" w:rsidRDefault="001F5904" w:rsidP="001F5904">
      <w:pPr>
        <w:suppressAutoHyphens w:val="0"/>
        <w:ind w:left="0" w:firstLine="708"/>
        <w:jc w:val="center"/>
        <w:rPr>
          <w:rFonts w:ascii="Verdana" w:hAnsi="Verdana"/>
          <w:b/>
          <w:iCs/>
          <w:sz w:val="20"/>
          <w:szCs w:val="20"/>
        </w:rPr>
      </w:pPr>
    </w:p>
    <w:p w:rsidR="001F5904" w:rsidRPr="00CD47D0" w:rsidRDefault="001F5904" w:rsidP="001F5904">
      <w:pPr>
        <w:suppressAutoHyphens w:val="0"/>
        <w:ind w:left="0"/>
        <w:rPr>
          <w:rFonts w:ascii="Verdana" w:hAnsi="Verdana"/>
          <w:sz w:val="20"/>
          <w:szCs w:val="20"/>
        </w:rPr>
      </w:pPr>
      <w:r w:rsidRPr="00CD47D0">
        <w:rPr>
          <w:rFonts w:ascii="Verdana" w:hAnsi="Verdana"/>
          <w:sz w:val="20"/>
          <w:szCs w:val="20"/>
        </w:rPr>
        <w:t>De Wet langdurige zorg (</w:t>
      </w:r>
      <w:proofErr w:type="spellStart"/>
      <w:r w:rsidRPr="00CD47D0">
        <w:rPr>
          <w:rFonts w:ascii="Verdana" w:hAnsi="Verdana"/>
          <w:sz w:val="20"/>
          <w:szCs w:val="20"/>
        </w:rPr>
        <w:t>Wlz</w:t>
      </w:r>
      <w:proofErr w:type="spellEnd"/>
      <w:r w:rsidRPr="00CD47D0">
        <w:rPr>
          <w:rFonts w:ascii="Verdana" w:hAnsi="Verdana"/>
          <w:sz w:val="20"/>
          <w:szCs w:val="20"/>
        </w:rPr>
        <w:t xml:space="preserve">) beslaat de langdurige permanente zorg voor kwetsbare mensen met een verstandelijk, lichamelijk, somatisch, psychogeriatrisch of zintuiglijke handicap of met een beperking die blijvend permanent toezicht of 24 uur per dag zorg vraagt thuis of in een instelling. Sinds 1 januari 2021 is de </w:t>
      </w:r>
      <w:proofErr w:type="spellStart"/>
      <w:r w:rsidRPr="00CD47D0">
        <w:rPr>
          <w:rFonts w:ascii="Verdana" w:hAnsi="Verdana"/>
          <w:sz w:val="20"/>
          <w:szCs w:val="20"/>
        </w:rPr>
        <w:t>Wlz</w:t>
      </w:r>
      <w:proofErr w:type="spellEnd"/>
      <w:r w:rsidRPr="00CD47D0">
        <w:rPr>
          <w:rFonts w:ascii="Verdana" w:hAnsi="Verdana"/>
          <w:sz w:val="20"/>
          <w:szCs w:val="20"/>
        </w:rPr>
        <w:t xml:space="preserve"> uitgebreid met de grondslag psychische stoornis en dus is deze wet ook toegankelijk voor mensen met een psychische stoornis. </w:t>
      </w:r>
    </w:p>
    <w:p w:rsidR="001F5904" w:rsidRDefault="001F5904" w:rsidP="001F5904">
      <w:pPr>
        <w:suppressAutoHyphens w:val="0"/>
        <w:ind w:left="0"/>
        <w:rPr>
          <w:rFonts w:ascii="Verdana" w:hAnsi="Verdana"/>
          <w:sz w:val="20"/>
          <w:szCs w:val="20"/>
        </w:rPr>
      </w:pPr>
    </w:p>
    <w:p w:rsidR="001F5904" w:rsidRPr="00CD47D0" w:rsidRDefault="001F5904" w:rsidP="001F5904">
      <w:pPr>
        <w:suppressAutoHyphens w:val="0"/>
        <w:ind w:left="0"/>
        <w:rPr>
          <w:rFonts w:ascii="Verdana" w:hAnsi="Verdana"/>
          <w:sz w:val="20"/>
          <w:szCs w:val="20"/>
        </w:rPr>
      </w:pPr>
      <w:r w:rsidRPr="00CD47D0">
        <w:rPr>
          <w:rFonts w:ascii="Verdana" w:hAnsi="Verdana"/>
          <w:sz w:val="20"/>
          <w:szCs w:val="20"/>
        </w:rPr>
        <w:t>In 2019 heeft de RINO Groep onderzoekers, beoordelaars en medisch adviseurs opgeleid in een 10-daagse opleiding om zich op deze doelgroep voor te bereiden. Deze opgeleide medewerkers werkten in speciale GGZ teams om de hoeveelheid indicatie aanvragen zo goed mogelijk te kunnen beoordelen tot een indicatiebesluit.</w:t>
      </w:r>
    </w:p>
    <w:p w:rsidR="001F5904" w:rsidRPr="00CD47D0" w:rsidRDefault="001F5904" w:rsidP="001F5904">
      <w:pPr>
        <w:suppressAutoHyphens w:val="0"/>
        <w:ind w:left="0"/>
        <w:rPr>
          <w:rFonts w:ascii="Verdana" w:hAnsi="Verdana"/>
          <w:sz w:val="20"/>
          <w:szCs w:val="20"/>
        </w:rPr>
      </w:pPr>
    </w:p>
    <w:p w:rsidR="001F5904" w:rsidRPr="00CD47D0" w:rsidRDefault="001F5904" w:rsidP="001F5904">
      <w:pPr>
        <w:suppressAutoHyphens w:val="0"/>
        <w:ind w:left="0"/>
        <w:rPr>
          <w:rFonts w:ascii="Verdana" w:hAnsi="Verdana"/>
          <w:sz w:val="20"/>
          <w:szCs w:val="20"/>
        </w:rPr>
      </w:pPr>
      <w:r w:rsidRPr="00CD47D0">
        <w:rPr>
          <w:rFonts w:ascii="Verdana" w:hAnsi="Verdana"/>
          <w:sz w:val="20"/>
          <w:szCs w:val="20"/>
        </w:rPr>
        <w:t xml:space="preserve">Per 1 januari 2022 worden deze GGZ teams opgeheven en vloeien deze medewerkers terug in de reguliere teams van het primaire proces. Het is de bedoeling dat alle medewerkers in de reguliere teams alle soorten indicatie aanvragen kunnen behandelen ongeacht de grondslag van de aanvraag (VG, PG of GGZ). </w:t>
      </w:r>
    </w:p>
    <w:p w:rsidR="001F5904" w:rsidRDefault="001F5904" w:rsidP="001F5904">
      <w:pPr>
        <w:suppressAutoHyphens w:val="0"/>
        <w:ind w:left="0"/>
        <w:rPr>
          <w:rFonts w:ascii="Verdana" w:hAnsi="Verdana"/>
          <w:sz w:val="20"/>
          <w:szCs w:val="20"/>
        </w:rPr>
      </w:pPr>
    </w:p>
    <w:p w:rsidR="001F5904" w:rsidRPr="00CD47D0" w:rsidRDefault="001F5904" w:rsidP="001F5904">
      <w:pPr>
        <w:suppressAutoHyphens w:val="0"/>
        <w:ind w:left="0"/>
        <w:rPr>
          <w:rFonts w:ascii="Verdana" w:hAnsi="Verdana"/>
          <w:sz w:val="20"/>
          <w:szCs w:val="20"/>
        </w:rPr>
      </w:pPr>
      <w:r w:rsidRPr="00CD47D0">
        <w:rPr>
          <w:rFonts w:ascii="Verdana" w:hAnsi="Verdana"/>
          <w:sz w:val="20"/>
          <w:szCs w:val="20"/>
        </w:rPr>
        <w:t xml:space="preserve">Dat betekent dat medewerkers die nog geen GGZ scholing hebben gehad aanvullende expertise, vaardigheden en attitude nodig hebben om ook goede en zorgvuldige GGZ indicatie aanvragen te kunnen uitvoeren. </w:t>
      </w:r>
    </w:p>
    <w:p w:rsidR="001F5904" w:rsidRPr="00CD47D0" w:rsidRDefault="001F5904" w:rsidP="001F5904">
      <w:pPr>
        <w:suppressAutoHyphens w:val="0"/>
        <w:ind w:left="0"/>
        <w:rPr>
          <w:rFonts w:ascii="Verdana" w:hAnsi="Verdana"/>
          <w:sz w:val="20"/>
          <w:szCs w:val="20"/>
        </w:rPr>
      </w:pPr>
    </w:p>
    <w:p w:rsidR="001F5904" w:rsidRPr="00CD47D0" w:rsidRDefault="001F5904" w:rsidP="001F5904">
      <w:pPr>
        <w:ind w:left="0"/>
        <w:rPr>
          <w:rFonts w:ascii="Verdana" w:hAnsi="Verdana" w:cs="Arial"/>
          <w:sz w:val="20"/>
          <w:szCs w:val="20"/>
        </w:rPr>
      </w:pPr>
    </w:p>
    <w:p w:rsidR="001F5904" w:rsidRPr="00CD47D0" w:rsidRDefault="001F5904" w:rsidP="001F5904">
      <w:pPr>
        <w:rPr>
          <w:rFonts w:ascii="Verdana" w:hAnsi="Verdana" w:cs="Arial"/>
          <w:b/>
          <w:i/>
          <w:sz w:val="20"/>
          <w:szCs w:val="20"/>
          <w:u w:val="single"/>
        </w:rPr>
      </w:pPr>
      <w:r>
        <w:rPr>
          <w:rFonts w:ascii="Verdana" w:hAnsi="Verdana" w:cs="Arial"/>
          <w:b/>
          <w:i/>
          <w:sz w:val="20"/>
          <w:szCs w:val="20"/>
          <w:u w:val="single"/>
        </w:rPr>
        <w:t>D</w:t>
      </w:r>
      <w:r w:rsidRPr="00CD47D0">
        <w:rPr>
          <w:rFonts w:ascii="Verdana" w:hAnsi="Verdana" w:cs="Arial"/>
          <w:b/>
          <w:i/>
          <w:sz w:val="20"/>
          <w:szCs w:val="20"/>
          <w:u w:val="single"/>
        </w:rPr>
        <w:t>oelstelling</w:t>
      </w:r>
    </w:p>
    <w:p w:rsidR="001F5904" w:rsidRPr="00BB25FB" w:rsidRDefault="001F5904" w:rsidP="001F5904">
      <w:pPr>
        <w:ind w:left="0"/>
        <w:rPr>
          <w:rFonts w:ascii="Verdana" w:hAnsi="Verdana" w:cs="Arial"/>
          <w:sz w:val="20"/>
          <w:szCs w:val="20"/>
        </w:rPr>
      </w:pPr>
      <w:r w:rsidRPr="00BB25FB">
        <w:rPr>
          <w:rFonts w:ascii="Verdana" w:hAnsi="Verdana" w:cs="Arial"/>
          <w:sz w:val="20"/>
          <w:szCs w:val="20"/>
        </w:rPr>
        <w:t xml:space="preserve">Er worden </w:t>
      </w:r>
      <w:r w:rsidR="00636345">
        <w:rPr>
          <w:rFonts w:ascii="Verdana" w:hAnsi="Verdana" w:cs="Arial"/>
          <w:sz w:val="20"/>
          <w:szCs w:val="20"/>
        </w:rPr>
        <w:t>4</w:t>
      </w:r>
      <w:r w:rsidRPr="00BB25FB">
        <w:rPr>
          <w:rFonts w:ascii="Verdana" w:hAnsi="Verdana" w:cs="Arial"/>
          <w:sz w:val="20"/>
          <w:szCs w:val="20"/>
        </w:rPr>
        <w:t xml:space="preserve"> groepen van gemiddeld 15 deelnemers getraind op basis van het draaiboek. Doelstelling van de </w:t>
      </w:r>
      <w:r>
        <w:rPr>
          <w:rFonts w:ascii="Verdana" w:hAnsi="Verdana" w:cs="Arial"/>
          <w:sz w:val="20"/>
          <w:szCs w:val="20"/>
        </w:rPr>
        <w:t>7</w:t>
      </w:r>
      <w:r w:rsidRPr="00BB25FB">
        <w:rPr>
          <w:rFonts w:ascii="Verdana" w:hAnsi="Verdana" w:cs="Arial"/>
          <w:sz w:val="20"/>
          <w:szCs w:val="20"/>
        </w:rPr>
        <w:t>-daagse scholing:</w:t>
      </w:r>
    </w:p>
    <w:p w:rsidR="001F5904" w:rsidRPr="00CD47D0" w:rsidRDefault="001F5904" w:rsidP="001F5904">
      <w:pPr>
        <w:pStyle w:val="Lijstalinea"/>
        <w:numPr>
          <w:ilvl w:val="0"/>
          <w:numId w:val="1"/>
        </w:numPr>
        <w:rPr>
          <w:rFonts w:ascii="Verdana" w:hAnsi="Verdana" w:cs="Arial"/>
          <w:sz w:val="20"/>
          <w:szCs w:val="20"/>
        </w:rPr>
      </w:pPr>
      <w:r w:rsidRPr="00CD47D0">
        <w:rPr>
          <w:rFonts w:ascii="Verdana" w:hAnsi="Verdana" w:cs="Arial"/>
          <w:sz w:val="20"/>
          <w:szCs w:val="20"/>
        </w:rPr>
        <w:t xml:space="preserve">vergroten van kennis, vaardigheden en een passende attitude om goede en zorgvuldige indicatiestelling GGZ te kunnen uitvoeren in het kader van de </w:t>
      </w:r>
      <w:proofErr w:type="spellStart"/>
      <w:r w:rsidRPr="00CD47D0">
        <w:rPr>
          <w:rFonts w:ascii="Verdana" w:hAnsi="Verdana" w:cs="Arial"/>
          <w:sz w:val="20"/>
          <w:szCs w:val="20"/>
        </w:rPr>
        <w:t>Wlz</w:t>
      </w:r>
      <w:proofErr w:type="spellEnd"/>
      <w:r w:rsidRPr="00CD47D0">
        <w:rPr>
          <w:rFonts w:ascii="Verdana" w:hAnsi="Verdana" w:cs="Arial"/>
          <w:sz w:val="20"/>
          <w:szCs w:val="20"/>
        </w:rPr>
        <w:t>.</w:t>
      </w:r>
    </w:p>
    <w:p w:rsidR="001F5904" w:rsidRDefault="001F5904" w:rsidP="001F5904">
      <w:pPr>
        <w:ind w:left="0"/>
        <w:rPr>
          <w:rFonts w:ascii="Verdana" w:hAnsi="Verdana" w:cs="Arial"/>
          <w:sz w:val="20"/>
          <w:szCs w:val="20"/>
        </w:rPr>
      </w:pPr>
    </w:p>
    <w:p w:rsidR="001F5904" w:rsidRPr="00BB25FB" w:rsidRDefault="001F5904" w:rsidP="001F5904">
      <w:pPr>
        <w:ind w:left="0"/>
        <w:rPr>
          <w:rFonts w:ascii="Verdana" w:hAnsi="Verdana"/>
          <w:sz w:val="20"/>
          <w:szCs w:val="20"/>
        </w:rPr>
      </w:pPr>
      <w:r w:rsidRPr="00BB25FB">
        <w:rPr>
          <w:rFonts w:ascii="Verdana" w:hAnsi="Verdana"/>
          <w:sz w:val="20"/>
          <w:szCs w:val="20"/>
        </w:rPr>
        <w:t>Er wordt gewerkt aan de volgende nevendoelen om dit te bereiken:</w:t>
      </w:r>
    </w:p>
    <w:p w:rsidR="001F5904" w:rsidRPr="00BB25FB" w:rsidRDefault="001F5904" w:rsidP="001F5904">
      <w:pPr>
        <w:pStyle w:val="Lijstalinea"/>
        <w:numPr>
          <w:ilvl w:val="0"/>
          <w:numId w:val="2"/>
        </w:numPr>
        <w:rPr>
          <w:rFonts w:ascii="Verdana" w:hAnsi="Verdana"/>
          <w:sz w:val="20"/>
          <w:szCs w:val="20"/>
        </w:rPr>
      </w:pPr>
      <w:r w:rsidRPr="00BB25FB">
        <w:rPr>
          <w:rFonts w:ascii="Verdana" w:hAnsi="Verdana"/>
          <w:sz w:val="20"/>
          <w:szCs w:val="20"/>
        </w:rPr>
        <w:t>Kennis hebben van ernst, beloop en “</w:t>
      </w:r>
      <w:proofErr w:type="spellStart"/>
      <w:r w:rsidRPr="00BB25FB">
        <w:rPr>
          <w:rFonts w:ascii="Verdana" w:hAnsi="Verdana"/>
          <w:sz w:val="20"/>
          <w:szCs w:val="20"/>
        </w:rPr>
        <w:t>blijvendheid</w:t>
      </w:r>
      <w:proofErr w:type="spellEnd"/>
      <w:r w:rsidRPr="00BB25FB">
        <w:rPr>
          <w:rFonts w:ascii="Verdana" w:hAnsi="Verdana"/>
          <w:sz w:val="20"/>
          <w:szCs w:val="20"/>
        </w:rPr>
        <w:t xml:space="preserve">” van meest voorkomende psychische stoornissen die in aanmerking kunnen komen voor een indicatie </w:t>
      </w:r>
      <w:proofErr w:type="spellStart"/>
      <w:r w:rsidRPr="00BB25FB">
        <w:rPr>
          <w:rFonts w:ascii="Verdana" w:hAnsi="Verdana"/>
          <w:sz w:val="20"/>
          <w:szCs w:val="20"/>
        </w:rPr>
        <w:t>ikv</w:t>
      </w:r>
      <w:proofErr w:type="spellEnd"/>
      <w:r w:rsidRPr="00BB25FB">
        <w:rPr>
          <w:rFonts w:ascii="Verdana" w:hAnsi="Verdana"/>
          <w:sz w:val="20"/>
          <w:szCs w:val="20"/>
        </w:rPr>
        <w:t xml:space="preserve"> </w:t>
      </w:r>
      <w:proofErr w:type="spellStart"/>
      <w:r w:rsidRPr="00BB25FB">
        <w:rPr>
          <w:rFonts w:ascii="Verdana" w:hAnsi="Verdana"/>
          <w:sz w:val="20"/>
          <w:szCs w:val="20"/>
        </w:rPr>
        <w:t>Wlz</w:t>
      </w:r>
      <w:proofErr w:type="spellEnd"/>
    </w:p>
    <w:p w:rsidR="001F5904" w:rsidRPr="00BB25FB" w:rsidRDefault="001F5904" w:rsidP="001F5904">
      <w:pPr>
        <w:pStyle w:val="Lijstalinea"/>
        <w:numPr>
          <w:ilvl w:val="0"/>
          <w:numId w:val="2"/>
        </w:numPr>
        <w:rPr>
          <w:rFonts w:ascii="Verdana" w:hAnsi="Verdana"/>
          <w:sz w:val="20"/>
          <w:szCs w:val="20"/>
        </w:rPr>
      </w:pPr>
      <w:r w:rsidRPr="00BB25FB">
        <w:rPr>
          <w:rFonts w:ascii="Verdana" w:hAnsi="Verdana"/>
          <w:sz w:val="20"/>
          <w:szCs w:val="20"/>
        </w:rPr>
        <w:t>Kennis hebben van de impact van verschillende psychische stoornissen voor de persoon zelf en diens familie, vrienden en netwerk</w:t>
      </w:r>
    </w:p>
    <w:p w:rsidR="001F5904" w:rsidRPr="00BB25FB" w:rsidRDefault="001F5904" w:rsidP="001F5904">
      <w:pPr>
        <w:pStyle w:val="Lijstalinea"/>
        <w:numPr>
          <w:ilvl w:val="0"/>
          <w:numId w:val="2"/>
        </w:numPr>
        <w:rPr>
          <w:rFonts w:ascii="Verdana" w:hAnsi="Verdana"/>
          <w:sz w:val="20"/>
          <w:szCs w:val="20"/>
        </w:rPr>
      </w:pPr>
      <w:r w:rsidRPr="00BB25FB">
        <w:rPr>
          <w:rFonts w:ascii="Verdana" w:hAnsi="Verdana"/>
          <w:sz w:val="20"/>
          <w:szCs w:val="20"/>
        </w:rPr>
        <w:t>Psychische stoornissen leren duiden met oog op beperking en participatie (ICF model)</w:t>
      </w:r>
    </w:p>
    <w:p w:rsidR="001F5904" w:rsidRPr="00BB25FB" w:rsidRDefault="001F5904" w:rsidP="001F5904">
      <w:pPr>
        <w:pStyle w:val="Lijstalinea"/>
        <w:numPr>
          <w:ilvl w:val="0"/>
          <w:numId w:val="2"/>
        </w:numPr>
        <w:rPr>
          <w:rFonts w:ascii="Verdana" w:hAnsi="Verdana"/>
          <w:sz w:val="20"/>
          <w:szCs w:val="20"/>
        </w:rPr>
      </w:pPr>
      <w:r w:rsidRPr="00BB25FB">
        <w:rPr>
          <w:rFonts w:ascii="Verdana" w:hAnsi="Verdana"/>
          <w:sz w:val="20"/>
          <w:szCs w:val="20"/>
        </w:rPr>
        <w:t>Inzicht krijgen in de organisatie van de Geestelijke Gezondheidszorg (GGZ); kennen van de verschillende behandelaren en bevoegdheden en het netwerk rondom de GGZ</w:t>
      </w:r>
    </w:p>
    <w:p w:rsidR="001F5904" w:rsidRPr="00BB25FB" w:rsidRDefault="001F5904" w:rsidP="001F5904">
      <w:pPr>
        <w:pStyle w:val="Lijstalinea"/>
        <w:numPr>
          <w:ilvl w:val="0"/>
          <w:numId w:val="2"/>
        </w:numPr>
        <w:rPr>
          <w:rFonts w:ascii="Verdana" w:hAnsi="Verdana"/>
          <w:sz w:val="20"/>
          <w:szCs w:val="20"/>
        </w:rPr>
      </w:pPr>
      <w:r w:rsidRPr="00BB25FB">
        <w:rPr>
          <w:rFonts w:ascii="Verdana" w:hAnsi="Verdana"/>
          <w:sz w:val="20"/>
          <w:szCs w:val="20"/>
        </w:rPr>
        <w:t>Leren reflecteren op hoe en waarom je als CIZ medewerker tot welk type beoordeling (</w:t>
      </w:r>
      <w:proofErr w:type="spellStart"/>
      <w:r w:rsidRPr="00BB25FB">
        <w:rPr>
          <w:rFonts w:ascii="Verdana" w:hAnsi="Verdana"/>
          <w:sz w:val="20"/>
          <w:szCs w:val="20"/>
        </w:rPr>
        <w:t>Wlz</w:t>
      </w:r>
      <w:proofErr w:type="spellEnd"/>
      <w:r w:rsidRPr="00BB25FB">
        <w:rPr>
          <w:rFonts w:ascii="Verdana" w:hAnsi="Verdana"/>
          <w:sz w:val="20"/>
          <w:szCs w:val="20"/>
        </w:rPr>
        <w:t xml:space="preserve"> grondslag) komt en wat de impact daarvan is op de persoon met psychische stoornis</w:t>
      </w:r>
    </w:p>
    <w:p w:rsidR="001F5904" w:rsidRPr="00BB25FB" w:rsidRDefault="00636345" w:rsidP="001F5904">
      <w:pPr>
        <w:pStyle w:val="Geenafstand"/>
        <w:numPr>
          <w:ilvl w:val="0"/>
          <w:numId w:val="2"/>
        </w:numPr>
        <w:suppressAutoHyphens w:val="0"/>
        <w:rPr>
          <w:rFonts w:ascii="Verdana" w:hAnsi="Verdana"/>
          <w:sz w:val="20"/>
          <w:szCs w:val="20"/>
        </w:rPr>
      </w:pPr>
      <w:r w:rsidRPr="00BB25FB">
        <w:rPr>
          <w:rFonts w:ascii="Verdana" w:hAnsi="Verdana"/>
          <w:sz w:val="20"/>
          <w:szCs w:val="20"/>
        </w:rPr>
        <w:t>Casuïstiek</w:t>
      </w:r>
      <w:bookmarkStart w:id="0" w:name="_GoBack"/>
      <w:bookmarkEnd w:id="0"/>
      <w:r w:rsidR="001F5904" w:rsidRPr="00BB25FB">
        <w:rPr>
          <w:rFonts w:ascii="Verdana" w:hAnsi="Verdana"/>
          <w:sz w:val="20"/>
          <w:szCs w:val="20"/>
        </w:rPr>
        <w:t xml:space="preserve"> leren beoordelen: Problematiek en de ernst er van steeds relateren aan </w:t>
      </w:r>
      <w:proofErr w:type="spellStart"/>
      <w:r w:rsidR="001F5904" w:rsidRPr="00BB25FB">
        <w:rPr>
          <w:rFonts w:ascii="Verdana" w:hAnsi="Verdana"/>
          <w:sz w:val="20"/>
          <w:szCs w:val="20"/>
        </w:rPr>
        <w:t>Wlz</w:t>
      </w:r>
      <w:proofErr w:type="spellEnd"/>
      <w:r w:rsidR="001F5904" w:rsidRPr="00BB25FB">
        <w:rPr>
          <w:rFonts w:ascii="Verdana" w:hAnsi="Verdana"/>
          <w:sz w:val="20"/>
          <w:szCs w:val="20"/>
        </w:rPr>
        <w:t xml:space="preserve"> afwegingskader: zorgbehoefte – 24-uurs zorg in nabijheid – (verwachte) </w:t>
      </w:r>
      <w:proofErr w:type="spellStart"/>
      <w:r w:rsidR="001F5904" w:rsidRPr="00BB25FB">
        <w:rPr>
          <w:rFonts w:ascii="Verdana" w:hAnsi="Verdana"/>
          <w:sz w:val="20"/>
          <w:szCs w:val="20"/>
        </w:rPr>
        <w:t>blijvendheid</w:t>
      </w:r>
      <w:proofErr w:type="spellEnd"/>
      <w:r w:rsidR="001F5904" w:rsidRPr="00BB25FB">
        <w:rPr>
          <w:rFonts w:ascii="Verdana" w:hAnsi="Verdana"/>
          <w:sz w:val="20"/>
          <w:szCs w:val="20"/>
        </w:rPr>
        <w:t xml:space="preserve"> van de zorg. Verschil tussen genezing en herstel, rol van leeftijd van de cliënt bij indiceren en kans op herstel.</w:t>
      </w:r>
    </w:p>
    <w:p w:rsidR="001F5904" w:rsidRPr="00CD47D0" w:rsidRDefault="001F5904" w:rsidP="001F5904">
      <w:pPr>
        <w:rPr>
          <w:rFonts w:ascii="Verdana" w:hAnsi="Verdana" w:cs="Arial"/>
          <w:b/>
          <w:i/>
          <w:sz w:val="20"/>
          <w:szCs w:val="20"/>
          <w:u w:val="single"/>
        </w:rPr>
      </w:pPr>
    </w:p>
    <w:p w:rsidR="001F5904" w:rsidRPr="00CD47D0" w:rsidRDefault="001F5904" w:rsidP="001F5904">
      <w:pPr>
        <w:rPr>
          <w:rFonts w:ascii="Verdana" w:hAnsi="Verdana" w:cs="Arial"/>
          <w:b/>
          <w:i/>
          <w:sz w:val="20"/>
          <w:szCs w:val="20"/>
          <w:u w:val="single"/>
        </w:rPr>
      </w:pPr>
      <w:r w:rsidRPr="00CD47D0">
        <w:rPr>
          <w:rFonts w:ascii="Verdana" w:hAnsi="Verdana" w:cs="Arial"/>
          <w:b/>
          <w:i/>
          <w:sz w:val="20"/>
          <w:szCs w:val="20"/>
          <w:u w:val="single"/>
        </w:rPr>
        <w:t>Doelgroep</w:t>
      </w:r>
    </w:p>
    <w:p w:rsidR="001F5904" w:rsidRPr="00BB25FB" w:rsidRDefault="001F5904" w:rsidP="001F5904">
      <w:pPr>
        <w:ind w:left="0"/>
        <w:rPr>
          <w:rFonts w:ascii="Verdana" w:hAnsi="Verdana" w:cs="Arial"/>
          <w:bCs/>
          <w:iCs/>
          <w:sz w:val="20"/>
          <w:szCs w:val="20"/>
        </w:rPr>
      </w:pPr>
      <w:r>
        <w:rPr>
          <w:rFonts w:ascii="Verdana" w:hAnsi="Verdana" w:cs="Arial"/>
          <w:bCs/>
          <w:iCs/>
          <w:sz w:val="20"/>
          <w:szCs w:val="20"/>
        </w:rPr>
        <w:t xml:space="preserve">Ongeveer </w:t>
      </w:r>
      <w:r w:rsidR="00636345">
        <w:rPr>
          <w:rFonts w:ascii="Verdana" w:hAnsi="Verdana" w:cs="Arial"/>
          <w:bCs/>
          <w:iCs/>
          <w:sz w:val="20"/>
          <w:szCs w:val="20"/>
        </w:rPr>
        <w:t>60</w:t>
      </w:r>
      <w:r>
        <w:rPr>
          <w:rFonts w:ascii="Verdana" w:hAnsi="Verdana" w:cs="Arial"/>
          <w:bCs/>
          <w:iCs/>
          <w:sz w:val="20"/>
          <w:szCs w:val="20"/>
        </w:rPr>
        <w:t xml:space="preserve"> medewerkers (</w:t>
      </w:r>
      <w:r w:rsidR="00636345">
        <w:rPr>
          <w:rFonts w:ascii="Verdana" w:hAnsi="Verdana" w:cs="Arial"/>
          <w:bCs/>
          <w:iCs/>
          <w:sz w:val="20"/>
          <w:szCs w:val="20"/>
        </w:rPr>
        <w:t>4</w:t>
      </w:r>
      <w:r>
        <w:rPr>
          <w:rFonts w:ascii="Verdana" w:hAnsi="Verdana" w:cs="Arial"/>
          <w:bCs/>
          <w:iCs/>
          <w:sz w:val="20"/>
          <w:szCs w:val="20"/>
        </w:rPr>
        <w:t xml:space="preserve"> lesgroepen) van het CIZ. Deze medewerkers hebben de functie van beoordelaar of onderzoeker met (post) Hbo of academisch opleidingsniveau. </w:t>
      </w:r>
    </w:p>
    <w:p w:rsidR="003E1262" w:rsidRDefault="003E1262"/>
    <w:sectPr w:rsidR="003E12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F5450"/>
    <w:multiLevelType w:val="hybridMultilevel"/>
    <w:tmpl w:val="DC70755A"/>
    <w:lvl w:ilvl="0" w:tplc="213A0972">
      <w:start w:val="5"/>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B8A158F"/>
    <w:multiLevelType w:val="hybridMultilevel"/>
    <w:tmpl w:val="5C26B9F8"/>
    <w:lvl w:ilvl="0" w:tplc="83BC5A58">
      <w:start w:val="49"/>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904"/>
    <w:rsid w:val="001F5904"/>
    <w:rsid w:val="003E1262"/>
    <w:rsid w:val="006363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B5FC8"/>
  <w15:chartTrackingRefBased/>
  <w15:docId w15:val="{53808DD1-FBC2-4A61-8400-B02F7C49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8"/>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1F5904"/>
    <w:pPr>
      <w:suppressAutoHyphens/>
      <w:spacing w:after="0" w:line="240" w:lineRule="auto"/>
      <w:ind w:left="714"/>
    </w:pPr>
    <w:rPr>
      <w:rFonts w:ascii="Times New Roman" w:eastAsia="Times New Roman" w:hAnsi="Times New Roman" w:cs="Times New Roman"/>
      <w:sz w:val="24"/>
      <w:szCs w:val="24"/>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1F5904"/>
    <w:pPr>
      <w:ind w:left="720"/>
      <w:contextualSpacing/>
    </w:pPr>
  </w:style>
  <w:style w:type="paragraph" w:styleId="Geenafstand">
    <w:name w:val="No Spacing"/>
    <w:uiPriority w:val="1"/>
    <w:qFormat/>
    <w:rsid w:val="001F5904"/>
    <w:pPr>
      <w:suppressAutoHyphens/>
      <w:spacing w:after="0" w:line="240" w:lineRule="auto"/>
      <w:ind w:left="714"/>
    </w:pPr>
    <w:rPr>
      <w:rFonts w:ascii="Times New Roman" w:eastAsia="Times New Roman" w:hAnsi="Times New Roman" w:cs="Times New Roman"/>
      <w:sz w:val="24"/>
      <w:szCs w:val="24"/>
      <w:lang w:eastAsia="ar-SA"/>
    </w:rPr>
  </w:style>
  <w:style w:type="character" w:customStyle="1" w:styleId="LijstalineaChar">
    <w:name w:val="Lijstalinea Char"/>
    <w:basedOn w:val="Standaardalinea-lettertype"/>
    <w:link w:val="Lijstalinea"/>
    <w:uiPriority w:val="34"/>
    <w:rsid w:val="001F5904"/>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447</Words>
  <Characters>2459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Burer</dc:creator>
  <cp:keywords/>
  <dc:description/>
  <cp:lastModifiedBy>Anne Burer</cp:lastModifiedBy>
  <cp:revision>2</cp:revision>
  <dcterms:created xsi:type="dcterms:W3CDTF">2021-12-08T09:28:00Z</dcterms:created>
  <dcterms:modified xsi:type="dcterms:W3CDTF">2021-12-08T09:43:00Z</dcterms:modified>
</cp:coreProperties>
</file>